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35" w:rsidRPr="00E56B5F" w:rsidRDefault="00CE2835" w:rsidP="00CE2835">
      <w:pPr>
        <w:spacing w:after="0" w:line="240" w:lineRule="auto"/>
        <w:ind w:left="10"/>
        <w:jc w:val="center"/>
        <w:rPr>
          <w:rFonts w:ascii="Times New Roman" w:hAnsi="Times New Roman"/>
          <w:spacing w:val="1"/>
          <w:sz w:val="28"/>
          <w:szCs w:val="28"/>
        </w:rPr>
      </w:pPr>
      <w:r w:rsidRPr="00E56B5F">
        <w:rPr>
          <w:rFonts w:ascii="Times New Roman" w:hAnsi="Times New Roman"/>
          <w:spacing w:val="1"/>
          <w:sz w:val="28"/>
          <w:szCs w:val="28"/>
        </w:rPr>
        <w:t>Раздел 6. Анализ рисков реализации подпрограммы</w:t>
      </w:r>
    </w:p>
    <w:p w:rsidR="00CE2835" w:rsidRPr="00E56B5F" w:rsidRDefault="00CE2835" w:rsidP="00CE2835">
      <w:pPr>
        <w:spacing w:after="0" w:line="240" w:lineRule="auto"/>
        <w:ind w:left="10"/>
        <w:jc w:val="center"/>
        <w:rPr>
          <w:rFonts w:ascii="Times New Roman" w:hAnsi="Times New Roman"/>
          <w:spacing w:val="1"/>
          <w:sz w:val="28"/>
          <w:szCs w:val="28"/>
        </w:rPr>
      </w:pPr>
      <w:r w:rsidRPr="00E56B5F">
        <w:rPr>
          <w:rFonts w:ascii="Times New Roman" w:hAnsi="Times New Roman"/>
          <w:spacing w:val="1"/>
          <w:sz w:val="28"/>
          <w:szCs w:val="28"/>
        </w:rPr>
        <w:t>и описание мер управления рисками реализации подпрограммы</w:t>
      </w:r>
    </w:p>
    <w:p w:rsidR="00CE2835" w:rsidRPr="003E3EA8" w:rsidRDefault="00CE2835" w:rsidP="00CE2835">
      <w:pPr>
        <w:spacing w:after="0" w:line="240" w:lineRule="auto"/>
        <w:ind w:left="10"/>
        <w:jc w:val="center"/>
        <w:rPr>
          <w:rFonts w:ascii="Times New Roman" w:hAnsi="Times New Roman"/>
          <w:spacing w:val="1"/>
          <w:sz w:val="24"/>
          <w:szCs w:val="24"/>
        </w:rPr>
      </w:pPr>
    </w:p>
    <w:p w:rsidR="00CE2835" w:rsidRPr="00E56B5F" w:rsidRDefault="00CE2835" w:rsidP="00CE283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56B5F">
        <w:rPr>
          <w:rFonts w:ascii="Times New Roman" w:hAnsi="Times New Roman"/>
          <w:sz w:val="28"/>
          <w:szCs w:val="28"/>
        </w:rPr>
        <w:t>21. Наиболее серьезные риски при реализации подпрограммы – это  финансовый и административный риски.</w:t>
      </w:r>
    </w:p>
    <w:p w:rsidR="00CE2835" w:rsidRPr="00E56B5F" w:rsidRDefault="00CE2835" w:rsidP="00CE283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56B5F">
        <w:rPr>
          <w:rFonts w:ascii="Times New Roman" w:hAnsi="Times New Roman"/>
          <w:sz w:val="28"/>
          <w:szCs w:val="28"/>
        </w:rP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CE2835" w:rsidRPr="00E56B5F" w:rsidRDefault="00CE2835" w:rsidP="00CE283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56B5F">
        <w:rPr>
          <w:rFonts w:ascii="Times New Roman" w:hAnsi="Times New Roman"/>
          <w:sz w:val="28"/>
          <w:szCs w:val="28"/>
        </w:rPr>
        <w:t xml:space="preserve">Способом ограничения финансового риска является ежегодная корректировка финансовых показателей подпрограммных мероприятий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E56B5F">
        <w:rPr>
          <w:rFonts w:ascii="Times New Roman" w:hAnsi="Times New Roman"/>
          <w:sz w:val="28"/>
          <w:szCs w:val="28"/>
        </w:rP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CE2835" w:rsidRPr="00E56B5F" w:rsidRDefault="00CE2835" w:rsidP="00CE283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56B5F">
        <w:rPr>
          <w:rFonts w:ascii="Times New Roman" w:hAnsi="Times New Roman"/>
          <w:sz w:val="28"/>
          <w:szCs w:val="28"/>
        </w:rP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CE2835" w:rsidRPr="00E56B5F" w:rsidRDefault="00CE2835" w:rsidP="00CE283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56B5F">
        <w:rPr>
          <w:rFonts w:ascii="Times New Roman" w:hAnsi="Times New Roman"/>
          <w:sz w:val="28"/>
          <w:szCs w:val="28"/>
        </w:rPr>
        <w:t>22.  Способами ограничения административного риска являются:</w:t>
      </w:r>
    </w:p>
    <w:p w:rsidR="00CE2835" w:rsidRPr="00E56B5F" w:rsidRDefault="00CE2835" w:rsidP="00CE283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56B5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56B5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56B5F">
        <w:rPr>
          <w:rFonts w:ascii="Times New Roman" w:hAnsi="Times New Roman"/>
          <w:sz w:val="28"/>
          <w:szCs w:val="28"/>
        </w:rPr>
        <w:t xml:space="preserve"> ходом выполнения подпрограммных мероприятий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E56B5F">
        <w:rPr>
          <w:rFonts w:ascii="Times New Roman" w:hAnsi="Times New Roman"/>
          <w:sz w:val="28"/>
          <w:szCs w:val="28"/>
        </w:rPr>
        <w:t xml:space="preserve">и совершенствование механизма текущего управления реализацией подпрограммы; </w:t>
      </w:r>
    </w:p>
    <w:p w:rsidR="00CE2835" w:rsidRPr="00E56B5F" w:rsidRDefault="00CE2835" w:rsidP="00CE283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56B5F">
        <w:rPr>
          <w:rFonts w:ascii="Times New Roman" w:hAnsi="Times New Roman"/>
          <w:sz w:val="28"/>
          <w:szCs w:val="28"/>
        </w:rPr>
        <w:t>- формирование ежегодных планов реализации подпрограммы;</w:t>
      </w:r>
    </w:p>
    <w:p w:rsidR="00CE2835" w:rsidRPr="00E56B5F" w:rsidRDefault="00CE2835" w:rsidP="00CE283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56B5F">
        <w:rPr>
          <w:rFonts w:ascii="Times New Roman" w:hAnsi="Times New Roman"/>
          <w:sz w:val="28"/>
          <w:szCs w:val="28"/>
        </w:rPr>
        <w:t>- постоянный мониторинг выполнения показателей (индикаторов) подпрограммы.</w:t>
      </w:r>
    </w:p>
    <w:p w:rsidR="00CE2835" w:rsidRPr="00E56B5F" w:rsidRDefault="00CE2835" w:rsidP="00CE2835">
      <w:pPr>
        <w:spacing w:after="0" w:line="240" w:lineRule="auto"/>
        <w:ind w:left="10" w:firstLine="699"/>
        <w:jc w:val="both"/>
        <w:rPr>
          <w:rFonts w:ascii="Times New Roman" w:hAnsi="Times New Roman"/>
          <w:sz w:val="28"/>
          <w:szCs w:val="28"/>
        </w:rPr>
      </w:pPr>
      <w:r w:rsidRPr="00E56B5F">
        <w:rPr>
          <w:rFonts w:ascii="Times New Roman" w:hAnsi="Times New Roman"/>
          <w:sz w:val="28"/>
          <w:szCs w:val="28"/>
        </w:rP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CE2835" w:rsidRPr="00E56B5F" w:rsidRDefault="00CE2835" w:rsidP="00CE283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699"/>
        <w:jc w:val="both"/>
        <w:outlineLvl w:val="1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23. </w:t>
      </w:r>
      <w:r w:rsidRPr="00E56B5F">
        <w:rPr>
          <w:rFonts w:ascii="Times New Roman" w:hAnsi="Times New Roman"/>
          <w:sz w:val="28"/>
          <w:szCs w:val="28"/>
        </w:rPr>
        <w:t>О</w:t>
      </w:r>
      <w:r w:rsidRPr="00E56B5F">
        <w:rPr>
          <w:rFonts w:ascii="Times New Roman" w:hAnsi="Times New Roman"/>
          <w:spacing w:val="-5"/>
          <w:sz w:val="28"/>
          <w:szCs w:val="28"/>
        </w:rPr>
        <w:t>ценка</w:t>
      </w:r>
      <w:r w:rsidRPr="00E56B5F">
        <w:rPr>
          <w:rFonts w:ascii="Times New Roman" w:hAnsi="Times New Roman"/>
          <w:sz w:val="28"/>
          <w:szCs w:val="28"/>
        </w:rPr>
        <w:t xml:space="preserve"> </w:t>
      </w:r>
      <w:r w:rsidRPr="00E56B5F">
        <w:rPr>
          <w:rFonts w:ascii="Times New Roman" w:hAnsi="Times New Roman"/>
          <w:spacing w:val="-6"/>
          <w:sz w:val="28"/>
          <w:szCs w:val="28"/>
        </w:rPr>
        <w:t>эффективности использования бюджетных средств   исполнителем при реализации подпрограммы</w:t>
      </w:r>
    </w:p>
    <w:p w:rsidR="00CE2835" w:rsidRPr="003E3EA8" w:rsidRDefault="00CE2835" w:rsidP="00CE283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752"/>
        <w:gridCol w:w="5655"/>
      </w:tblGrid>
      <w:tr w:rsidR="00CE2835" w:rsidRPr="003E3EA8" w:rsidTr="009250BD">
        <w:trPr>
          <w:trHeight w:val="824"/>
        </w:trPr>
        <w:tc>
          <w:tcPr>
            <w:tcW w:w="1653" w:type="pct"/>
          </w:tcPr>
          <w:p w:rsidR="00CE2835" w:rsidRPr="003E3EA8" w:rsidRDefault="00CE2835" w:rsidP="009250BD">
            <w:pPr>
              <w:spacing w:after="0" w:line="240" w:lineRule="auto"/>
              <w:ind w:right="16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pacing w:val="-5"/>
                <w:sz w:val="24"/>
                <w:szCs w:val="24"/>
              </w:rPr>
              <w:t>Оценка достижения плановых индикативных  показателей (</w:t>
            </w:r>
            <w:proofErr w:type="gramStart"/>
            <w:r w:rsidRPr="003E3EA8">
              <w:rPr>
                <w:rFonts w:ascii="Times New Roman" w:hAnsi="Times New Roman"/>
                <w:spacing w:val="-5"/>
                <w:sz w:val="24"/>
                <w:szCs w:val="24"/>
              </w:rPr>
              <w:t>ДИП</w:t>
            </w:r>
            <w:proofErr w:type="gramEnd"/>
            <w:r w:rsidRPr="003E3EA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) </w:t>
            </w:r>
          </w:p>
        </w:tc>
        <w:tc>
          <w:tcPr>
            <w:tcW w:w="393" w:type="pct"/>
          </w:tcPr>
          <w:p w:rsidR="00CE2835" w:rsidRPr="003E3EA8" w:rsidRDefault="00CE2835" w:rsidP="009250BD">
            <w:pPr>
              <w:spacing w:after="0" w:line="240" w:lineRule="auto"/>
              <w:ind w:right="168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=</w:t>
            </w:r>
          </w:p>
        </w:tc>
        <w:tc>
          <w:tcPr>
            <w:tcW w:w="2954" w:type="pct"/>
          </w:tcPr>
          <w:p w:rsidR="00CE2835" w:rsidRPr="003E3EA8" w:rsidRDefault="00CE2835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pacing w:val="-5"/>
                <w:sz w:val="24"/>
                <w:szCs w:val="24"/>
              </w:rPr>
              <w:t>Фактические индикативные показатели</w:t>
            </w:r>
          </w:p>
          <w:p w:rsidR="00CE2835" w:rsidRPr="003E3EA8" w:rsidRDefault="00CE2835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pacing w:val="-5"/>
                <w:sz w:val="24"/>
                <w:szCs w:val="24"/>
              </w:rPr>
              <w:t>Плановые индикативные показатели</w:t>
            </w:r>
          </w:p>
        </w:tc>
      </w:tr>
      <w:tr w:rsidR="00CE2835" w:rsidRPr="003E3EA8" w:rsidTr="009250BD">
        <w:tc>
          <w:tcPr>
            <w:tcW w:w="1653" w:type="pct"/>
          </w:tcPr>
          <w:p w:rsidR="00CE2835" w:rsidRPr="003E3EA8" w:rsidRDefault="00CE2835" w:rsidP="009250BD">
            <w:pPr>
              <w:spacing w:after="0" w:line="240" w:lineRule="auto"/>
              <w:ind w:right="16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pacing w:val="-5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393" w:type="pct"/>
          </w:tcPr>
          <w:p w:rsidR="00CE2835" w:rsidRPr="003E3EA8" w:rsidRDefault="00CE2835" w:rsidP="009250BD">
            <w:pPr>
              <w:spacing w:after="0" w:line="240" w:lineRule="auto"/>
              <w:ind w:right="168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=</w:t>
            </w:r>
          </w:p>
        </w:tc>
        <w:tc>
          <w:tcPr>
            <w:tcW w:w="2954" w:type="pct"/>
          </w:tcPr>
          <w:p w:rsidR="00CE2835" w:rsidRPr="003E3EA8" w:rsidRDefault="00CE2835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pacing w:val="-5"/>
                <w:sz w:val="24"/>
                <w:szCs w:val="24"/>
              </w:rPr>
              <w:t>Фактическое использование бюджетных средств</w:t>
            </w:r>
          </w:p>
          <w:p w:rsidR="00CE2835" w:rsidRPr="003E3EA8" w:rsidRDefault="00CE2835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pacing w:val="-5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CE2835" w:rsidRPr="003E3EA8" w:rsidTr="009250BD">
        <w:tc>
          <w:tcPr>
            <w:tcW w:w="1653" w:type="pct"/>
          </w:tcPr>
          <w:p w:rsidR="00CE2835" w:rsidRPr="003E3EA8" w:rsidRDefault="00CE2835" w:rsidP="009250BD">
            <w:pPr>
              <w:spacing w:after="0" w:line="240" w:lineRule="auto"/>
              <w:ind w:right="16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pacing w:val="-5"/>
                <w:sz w:val="24"/>
                <w:szCs w:val="24"/>
              </w:rPr>
              <w:t>Показатель эффективности использования бюджетных средств (ПЭ)</w:t>
            </w:r>
          </w:p>
        </w:tc>
        <w:tc>
          <w:tcPr>
            <w:tcW w:w="393" w:type="pct"/>
          </w:tcPr>
          <w:p w:rsidR="00CE2835" w:rsidRPr="003E3EA8" w:rsidRDefault="00CE2835" w:rsidP="009250BD">
            <w:pPr>
              <w:spacing w:after="0" w:line="240" w:lineRule="auto"/>
              <w:ind w:right="168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=</w:t>
            </w:r>
          </w:p>
        </w:tc>
        <w:tc>
          <w:tcPr>
            <w:tcW w:w="2954" w:type="pct"/>
          </w:tcPr>
          <w:p w:rsidR="00CE2835" w:rsidRPr="003E3EA8" w:rsidRDefault="00CE2835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proofErr w:type="gramStart"/>
            <w:r w:rsidRPr="003E3EA8">
              <w:rPr>
                <w:rFonts w:ascii="Times New Roman" w:hAnsi="Times New Roman"/>
                <w:spacing w:val="-5"/>
                <w:sz w:val="24"/>
                <w:szCs w:val="24"/>
              </w:rPr>
              <w:t>ДИП</w:t>
            </w:r>
            <w:proofErr w:type="gramEnd"/>
            <w:r w:rsidRPr="003E3EA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(Оценка достижения плановых индикативных  показателей)</w:t>
            </w:r>
          </w:p>
          <w:p w:rsidR="00CE2835" w:rsidRPr="003E3EA8" w:rsidRDefault="00CE2835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pacing w:val="-5"/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CE2835" w:rsidRDefault="00CE2835" w:rsidP="00CE2835">
      <w:pPr>
        <w:shd w:val="clear" w:color="auto" w:fill="FFFFFF"/>
        <w:spacing w:after="0"/>
        <w:ind w:left="29" w:firstLine="680"/>
        <w:jc w:val="both"/>
        <w:rPr>
          <w:rFonts w:ascii="Times New Roman" w:hAnsi="Times New Roman"/>
          <w:sz w:val="28"/>
          <w:szCs w:val="28"/>
        </w:rPr>
      </w:pPr>
      <w:r w:rsidRPr="00E56B5F">
        <w:rPr>
          <w:rFonts w:ascii="Times New Roman" w:hAnsi="Times New Roman"/>
          <w:spacing w:val="-5"/>
          <w:sz w:val="28"/>
          <w:szCs w:val="28"/>
        </w:rPr>
        <w:t xml:space="preserve">24. Оценка эффективности по подпрограмме в целом равна сумме показателей эффективности по </w:t>
      </w:r>
      <w:r w:rsidRPr="00E56B5F">
        <w:rPr>
          <w:rFonts w:ascii="Times New Roman" w:hAnsi="Times New Roman"/>
          <w:sz w:val="28"/>
          <w:szCs w:val="28"/>
        </w:rPr>
        <w:t>мероприятиям подпрограммы</w:t>
      </w:r>
    </w:p>
    <w:p w:rsidR="00CE2835" w:rsidRPr="00E56B5F" w:rsidRDefault="00CE2835" w:rsidP="00CE2835">
      <w:pPr>
        <w:shd w:val="clear" w:color="auto" w:fill="FFFFFF"/>
        <w:spacing w:after="0"/>
        <w:ind w:left="29" w:firstLine="6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8"/>
        <w:gridCol w:w="7839"/>
      </w:tblGrid>
      <w:tr w:rsidR="00CE2835" w:rsidRPr="003E3EA8" w:rsidTr="009250BD">
        <w:trPr>
          <w:trHeight w:hRule="exact" w:val="920"/>
          <w:tblHeader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835" w:rsidRPr="003E3EA8" w:rsidRDefault="00CE2835" w:rsidP="009250BD">
            <w:pPr>
              <w:shd w:val="clear" w:color="auto" w:fill="FFFFFF"/>
              <w:spacing w:after="0" w:line="240" w:lineRule="auto"/>
              <w:ind w:left="187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835" w:rsidRPr="003E3EA8" w:rsidRDefault="00CE2835" w:rsidP="009250BD">
            <w:pPr>
              <w:shd w:val="clear" w:color="auto" w:fill="FFFFFF"/>
              <w:spacing w:after="0" w:line="240" w:lineRule="auto"/>
              <w:ind w:right="18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>Эффективное использование бюджетных средств</w:t>
            </w:r>
          </w:p>
        </w:tc>
      </w:tr>
      <w:tr w:rsidR="00CE2835" w:rsidRPr="003E3EA8" w:rsidTr="009250BD">
        <w:trPr>
          <w:trHeight w:hRule="exact" w:val="512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2835" w:rsidRPr="003E3EA8" w:rsidRDefault="00CE2835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>Более 1,4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2835" w:rsidRPr="003E3EA8" w:rsidRDefault="00CE2835" w:rsidP="009250BD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 xml:space="preserve">Очень высокая эффективность использования </w:t>
            </w:r>
            <w:r w:rsidRPr="003E3EA8">
              <w:rPr>
                <w:rFonts w:ascii="Times New Roman" w:hAnsi="Times New Roman"/>
                <w:bCs/>
                <w:sz w:val="24"/>
                <w:szCs w:val="24"/>
              </w:rPr>
              <w:t>бюджетных средств</w:t>
            </w:r>
            <w:r w:rsidRPr="003E3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E3EA8">
              <w:rPr>
                <w:rFonts w:ascii="Times New Roman" w:hAnsi="Times New Roman"/>
                <w:sz w:val="24"/>
                <w:szCs w:val="24"/>
              </w:rPr>
              <w:t>(значительно превышает целевое значение)</w:t>
            </w:r>
          </w:p>
          <w:p w:rsidR="00CE2835" w:rsidRPr="003E3EA8" w:rsidRDefault="00CE2835" w:rsidP="009250BD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835" w:rsidRPr="003E3EA8" w:rsidRDefault="00CE2835" w:rsidP="009250BD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835" w:rsidRPr="003E3EA8" w:rsidTr="009250BD">
        <w:trPr>
          <w:trHeight w:hRule="exact" w:val="534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2835" w:rsidRPr="003E3EA8" w:rsidRDefault="00CE2835" w:rsidP="009250BD">
            <w:pPr>
              <w:pStyle w:val="7"/>
              <w:spacing w:before="0" w:after="0"/>
              <w:jc w:val="center"/>
            </w:pPr>
            <w:r w:rsidRPr="003E3EA8">
              <w:t>От 1 до 1,4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2835" w:rsidRPr="003E3EA8" w:rsidRDefault="00CE2835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EA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Высокая эффективность использования бюджетных средств </w:t>
            </w:r>
            <w:r w:rsidRPr="003E3EA8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(превышение</w:t>
            </w:r>
            <w:proofErr w:type="gramEnd"/>
          </w:p>
          <w:p w:rsidR="00CE2835" w:rsidRPr="003E3EA8" w:rsidRDefault="00CE2835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>целевого значения)</w:t>
            </w:r>
          </w:p>
        </w:tc>
      </w:tr>
      <w:tr w:rsidR="00CE2835" w:rsidRPr="003E3EA8" w:rsidTr="009250BD">
        <w:trPr>
          <w:trHeight w:hRule="exact" w:val="542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2835" w:rsidRPr="003E3EA8" w:rsidRDefault="00CE2835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>От 0,5 до 1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2835" w:rsidRPr="003E3EA8" w:rsidRDefault="00CE2835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Низкая эффективность использования бюджетных средств  </w:t>
            </w:r>
            <w:r w:rsidRPr="003E3EA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(не достигнуто</w:t>
            </w:r>
            <w:r w:rsidRPr="003E3EA8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E3EA8">
              <w:rPr>
                <w:rFonts w:ascii="Times New Roman" w:hAnsi="Times New Roman"/>
                <w:sz w:val="24"/>
                <w:szCs w:val="24"/>
              </w:rPr>
              <w:t>целевое значение)</w:t>
            </w:r>
          </w:p>
        </w:tc>
      </w:tr>
      <w:tr w:rsidR="00CE2835" w:rsidRPr="003E3EA8" w:rsidTr="009250BD">
        <w:trPr>
          <w:trHeight w:hRule="exact" w:val="776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2835" w:rsidRPr="003E3EA8" w:rsidRDefault="00CE2835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>Менее 0,5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2835" w:rsidRPr="003E3EA8" w:rsidRDefault="00CE2835" w:rsidP="009250B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 xml:space="preserve">Крайне низкая эффективность использования </w:t>
            </w:r>
            <w:r w:rsidRPr="003E3EA8">
              <w:rPr>
                <w:rFonts w:ascii="Times New Roman" w:hAnsi="Times New Roman"/>
                <w:bCs/>
                <w:sz w:val="24"/>
                <w:szCs w:val="24"/>
              </w:rPr>
              <w:t>бюджетных средств</w:t>
            </w:r>
            <w:r w:rsidRPr="003E3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E3EA8">
              <w:rPr>
                <w:rFonts w:ascii="Times New Roman" w:hAnsi="Times New Roman"/>
                <w:sz w:val="24"/>
                <w:szCs w:val="24"/>
              </w:rPr>
              <w:t>(целевое значение исполнено менее чем наполовину)</w:t>
            </w:r>
          </w:p>
        </w:tc>
      </w:tr>
    </w:tbl>
    <w:p w:rsidR="004A066C" w:rsidRDefault="004A066C">
      <w:bookmarkStart w:id="0" w:name="_GoBack"/>
      <w:bookmarkEnd w:id="0"/>
    </w:p>
    <w:sectPr w:rsidR="004A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35"/>
    <w:rsid w:val="004A066C"/>
    <w:rsid w:val="00C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35"/>
    <w:pPr>
      <w:spacing w:after="200" w:line="276" w:lineRule="auto"/>
      <w:ind w:left="0"/>
    </w:pPr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CE2835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CE28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35"/>
    <w:pPr>
      <w:spacing w:after="200" w:line="276" w:lineRule="auto"/>
      <w:ind w:left="0"/>
    </w:pPr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CE2835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CE28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zgoenk</dc:creator>
  <cp:lastModifiedBy>zgoenk</cp:lastModifiedBy>
  <cp:revision>1</cp:revision>
  <dcterms:created xsi:type="dcterms:W3CDTF">2022-08-02T08:08:00Z</dcterms:created>
  <dcterms:modified xsi:type="dcterms:W3CDTF">2022-08-02T08:10:00Z</dcterms:modified>
</cp:coreProperties>
</file>